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44"/>
          <w:szCs w:val="44"/>
        </w:rPr>
        <w:t xml:space="preserve">Heritage Statement</w:t>
      </w:r>
    </w:p>
    <w:p>
      <w:pPr>
        <w:spacing w:after="120"/>
        <w:jc w:val="center"/>
      </w:pPr>
      <w:r>
        <w:rPr>
          <w:sz w:val="28"/>
          <w:szCs w:val="28"/>
        </w:rPr>
        <w:t xml:space="preserve">[Site address]</w:t>
      </w:r>
    </w:p>
    <w:p>
      <w:pPr>
        <w:spacing w:after="480"/>
        <w:jc w:val="center"/>
      </w:pPr>
      <w:r>
        <w:rPr>
          <w:i/>
          <w:iCs/>
        </w:rPr>
        <w:t xml:space="preserve">Prepared on behalf of [Applicant name]</w:t>
      </w:r>
    </w:p>
    <w:p>
      <w:pPr>
        <w:jc w:val="center"/>
      </w:pPr>
      <w:r>
        <w:rPr>
          <w:i/>
          <w:iCs/>
          <w:color w:val="555555"/>
        </w:rPr>
        <w:t xml:space="preserve">Free template by Vestige, London heritage planning consultancy</w:t>
      </w:r>
    </w:p>
    <w:p>
      <w:pPr>
        <w:spacing w:after="480"/>
        <w:jc w:val="center"/>
      </w:pPr>
      <w:r>
        <w:rPr>
          <w:color w:val="555555"/>
        </w:rPr>
        <w:t xml:space="preserve">vestigelondon.com</w:t>
      </w:r>
    </w:p>
    <w:p>
      <w:pPr>
        <w:pStyle w:val="Heading1"/>
        <w:spacing w:after="120" w:before="240"/>
      </w:pPr>
      <w:r>
        <w:rPr>
          <w:b/>
          <w:bCs/>
        </w:rPr>
        <w:t xml:space="preserve">1. Introduction</w:t>
      </w:r>
    </w:p>
    <w:p>
      <w:pPr>
        <w:spacing w:after="120"/>
      </w:pPr>
      <w:r>
        <w:t xml:space="preserve">This Heritage Statement has been prepared in support of an application for [planning permission / listed building consent / both] at [site address]. It has been prepared in accordance with paragraph 200 of the National Planning Policy Framework (NPPF), which requires applicants to describe the significance of any heritage asset affected, including any contribution made by their setting.</w:t>
      </w:r>
    </w:p>
    <w:p>
      <w:pPr>
        <w:spacing w:after="120"/>
      </w:pPr>
      <w:r>
        <w:t xml:space="preserve">The level of detail in this statement is proportionate to the importance of the heritage asset and is sufficient to understand the potential impact of the proposal on its significance, in accordance with Historic England Good Practice Advice Note 2.</w:t>
      </w:r>
    </w:p>
    <w:p>
      <w:pPr>
        <w:pStyle w:val="Heading1"/>
        <w:spacing w:after="120" w:before="240"/>
      </w:pPr>
      <w:r>
        <w:rPr>
          <w:b/>
          <w:bCs/>
        </w:rPr>
        <w:t xml:space="preserve">2. Identification of the heritage asset</w:t>
      </w:r>
    </w:p>
    <w:p>
      <w:pPr>
        <w:pStyle w:val="ListParagraph"/>
        <w:numPr>
          <w:ilvl w:val="0"/>
          <w:numId w:val="2"/>
        </w:numPr>
      </w:pPr>
      <w:r>
        <w:t xml:space="preserve">Address: [address]</w:t>
      </w:r>
    </w:p>
    <w:p>
      <w:pPr>
        <w:pStyle w:val="ListParagraph"/>
        <w:numPr>
          <w:ilvl w:val="0"/>
          <w:numId w:val="2"/>
        </w:numPr>
      </w:pPr>
      <w:r>
        <w:t xml:space="preserve">Designation: [Grade I / II* / II listed building / conservation area / scheduled monument / non-designated heritage asset]</w:t>
      </w:r>
    </w:p>
    <w:p>
      <w:pPr>
        <w:pStyle w:val="ListParagraph"/>
        <w:numPr>
          <w:ilvl w:val="0"/>
          <w:numId w:val="2"/>
        </w:numPr>
      </w:pPr>
      <w:r>
        <w:t xml:space="preserve">List entry number: [NHLE number, link to https://historicengland.org.uk/listing/the-list/]</w:t>
      </w:r>
    </w:p>
    <w:p>
      <w:pPr>
        <w:pStyle w:val="ListParagraph"/>
        <w:numPr>
          <w:ilvl w:val="0"/>
          <w:numId w:val="2"/>
        </w:numPr>
      </w:pPr>
      <w:r>
        <w:t xml:space="preserve">Conservation area: [name and date of designation]</w:t>
      </w:r>
    </w:p>
    <w:p>
      <w:pPr>
        <w:pStyle w:val="ListParagraph"/>
        <w:numPr>
          <w:ilvl w:val="0"/>
          <w:numId w:val="2"/>
        </w:numPr>
      </w:pPr>
      <w:r>
        <w:t xml:space="preserve">Article 4 direction: [details, if any]</w:t>
      </w:r>
    </w:p>
    <w:p>
      <w:pPr>
        <w:pStyle w:val="ListParagraph"/>
        <w:numPr>
          <w:ilvl w:val="0"/>
          <w:numId w:val="2"/>
        </w:numPr>
      </w:pPr>
      <w:r>
        <w:t xml:space="preserve">Local plan policies engaged: [list]</w:t>
      </w:r>
    </w:p>
    <w:p>
      <w:pPr>
        <w:pStyle w:val="Heading1"/>
        <w:spacing w:after="120" w:before="240"/>
      </w:pPr>
      <w:r>
        <w:rPr>
          <w:b/>
          <w:bCs/>
        </w:rPr>
        <w:t xml:space="preserve">3. Statement of significance</w:t>
      </w:r>
    </w:p>
    <w:p>
      <w:pPr>
        <w:spacing w:after="120"/>
      </w:pPr>
      <w:r>
        <w:t xml:space="preserve">Significance is assessed using the four interests set out in Annex 2 of the NPPF and in Historic England Conservation Principles, Policies and Guidance (2008).</w:t>
      </w:r>
    </w:p>
    <w:p>
      <w:pPr>
        <w:pStyle w:val="Heading2"/>
        <w:spacing w:after="120" w:before="240"/>
      </w:pPr>
      <w:r>
        <w:rPr>
          <w:b/>
          <w:bCs/>
        </w:rPr>
        <w:t xml:space="preserve">3.1 Architectural interest</w:t>
      </w:r>
    </w:p>
    <w:p>
      <w:pPr>
        <w:spacing w:after="120"/>
      </w:pPr>
      <w:r>
        <w:t xml:space="preserve">[Describe the architectural interest of the asset: style, form, materials, plan-form, internal features, attribution where known, and the contribution of these elements to its special interest.]</w:t>
      </w:r>
    </w:p>
    <w:p>
      <w:pPr>
        <w:pStyle w:val="Heading2"/>
        <w:spacing w:after="120" w:before="240"/>
      </w:pPr>
      <w:r>
        <w:rPr>
          <w:b/>
          <w:bCs/>
        </w:rPr>
        <w:t xml:space="preserve">3.2 Historic interest</w:t>
      </w:r>
    </w:p>
    <w:p>
      <w:pPr>
        <w:spacing w:after="120"/>
      </w:pPr>
      <w:r>
        <w:t xml:space="preserve">[Describe the historic interest: date of construction, evolution, associations with people or events, and the contribution of these to special interest.]</w:t>
      </w:r>
    </w:p>
    <w:p>
      <w:pPr>
        <w:pStyle w:val="Heading2"/>
        <w:spacing w:after="120" w:before="240"/>
      </w:pPr>
      <w:r>
        <w:rPr>
          <w:b/>
          <w:bCs/>
        </w:rPr>
        <w:t xml:space="preserve">3.3 Archaeological interest</w:t>
      </w:r>
    </w:p>
    <w:p>
      <w:pPr>
        <w:spacing w:after="120"/>
      </w:pPr>
      <w:r>
        <w:t xml:space="preserve">[Describe any archaeological interest, including below-ground potential, fabric of archaeological interest, and any Archaeological Priority Area designation.]</w:t>
      </w:r>
    </w:p>
    <w:p>
      <w:pPr>
        <w:pStyle w:val="Heading2"/>
        <w:spacing w:after="120" w:before="240"/>
      </w:pPr>
      <w:r>
        <w:rPr>
          <w:b/>
          <w:bCs/>
        </w:rPr>
        <w:t xml:space="preserve">3.4 Artistic interest</w:t>
      </w:r>
    </w:p>
    <w:p>
      <w:pPr>
        <w:spacing w:after="120"/>
      </w:pPr>
      <w:r>
        <w:t xml:space="preserve">[Describe any artistic interest: design quality, craftsmanship, decorative schemes, fittings.]</w:t>
      </w:r>
    </w:p>
    <w:p>
      <w:pPr>
        <w:pStyle w:val="Heading2"/>
        <w:spacing w:after="120" w:before="240"/>
      </w:pPr>
      <w:r>
        <w:rPr>
          <w:b/>
          <w:bCs/>
        </w:rPr>
        <w:t xml:space="preserve">3.5 Setting</w:t>
      </w:r>
    </w:p>
    <w:p>
      <w:pPr>
        <w:spacing w:after="120"/>
      </w:pPr>
      <w:r>
        <w:t xml:space="preserve">[Apply Historic England GPA 3 five-step method: identify which heritage assets and their settings are affected, assess whether and how the setting contributes to significance, assess the effects of the proposal, explore mitigation, document.]</w:t>
      </w:r>
    </w:p>
    <w:p>
      <w:pPr>
        <w:pStyle w:val="Heading1"/>
        <w:spacing w:after="120" w:before="240"/>
      </w:pPr>
      <w:r>
        <w:rPr>
          <w:b/>
          <w:bCs/>
        </w:rPr>
        <w:t xml:space="preserve">4. The proposal</w:t>
      </w:r>
    </w:p>
    <w:p>
      <w:pPr>
        <w:spacing w:after="120"/>
      </w:pPr>
      <w:r>
        <w:t xml:space="preserve">[Describe the proposed works clearly and concisely, with reference to the application drawings. Schedule the works element by element so each can be tested against significance in section 5.]</w:t>
      </w:r>
    </w:p>
    <w:p>
      <w:pPr>
        <w:pStyle w:val="Heading1"/>
        <w:spacing w:after="120" w:before="240"/>
      </w:pPr>
      <w:r>
        <w:rPr>
          <w:b/>
          <w:bCs/>
        </w:rPr>
        <w:t xml:space="preserve">5. Heritage impact assessment</w:t>
      </w:r>
    </w:p>
    <w:p>
      <w:pPr>
        <w:spacing w:after="120"/>
      </w:pPr>
      <w:r>
        <w:t xml:space="preserve">Each element of the proposal is assessed against the significance identified above, applying the harm test set out at NPPF paragraphs 205 to 208.</w:t>
      </w:r>
    </w:p>
    <w:p>
      <w:pPr>
        <w:pStyle w:val="Heading2"/>
        <w:spacing w:after="120" w:before="240"/>
      </w:pPr>
      <w:r>
        <w:rPr>
          <w:b/>
          <w:bCs/>
        </w:rPr>
        <w:t xml:space="preserve">5.1 [Element 1, e.g. rear extension]</w:t>
      </w:r>
    </w:p>
    <w:p>
      <w:pPr>
        <w:spacing w:after="120"/>
      </w:pPr>
      <w:r>
        <w:t xml:space="preserve">[Describe the change, the affected fabric or setting, and the conclusion on harm: no harm, less than substantial harm at the lower or upper end, or substantial harm. Reason the conclusion through.]</w:t>
      </w:r>
    </w:p>
    <w:p>
      <w:pPr>
        <w:pStyle w:val="Heading2"/>
        <w:spacing w:after="120" w:before="240"/>
      </w:pPr>
      <w:r>
        <w:rPr>
          <w:b/>
          <w:bCs/>
        </w:rPr>
        <w:t xml:space="preserve">5.2 [Element 2]</w:t>
      </w:r>
    </w:p>
    <w:p>
      <w:pPr>
        <w:spacing w:after="120"/>
      </w:pPr>
      <w:r>
        <w:t xml:space="preserve">[As above.]</w:t>
      </w:r>
    </w:p>
    <w:p>
      <w:pPr>
        <w:pStyle w:val="Heading2"/>
        <w:spacing w:after="120" w:before="240"/>
      </w:pPr>
      <w:r>
        <w:rPr>
          <w:b/>
          <w:bCs/>
        </w:rPr>
        <w:t xml:space="preserve">5.3 Cumulative impact</w:t>
      </w:r>
    </w:p>
    <w:p>
      <w:pPr>
        <w:spacing w:after="120"/>
      </w:pPr>
      <w:r>
        <w:t xml:space="preserve">[Where multiple changes are proposed, assess the cumulative effect on significance.]</w:t>
      </w:r>
    </w:p>
    <w:p>
      <w:pPr>
        <w:pStyle w:val="Heading1"/>
        <w:spacing w:after="120" w:before="240"/>
      </w:pPr>
      <w:r>
        <w:rPr>
          <w:b/>
          <w:bCs/>
        </w:rPr>
        <w:t xml:space="preserve">6. Policy compliance</w:t>
      </w:r>
    </w:p>
    <w:p>
      <w:pPr>
        <w:pStyle w:val="ListParagraph"/>
        <w:numPr>
          <w:ilvl w:val="0"/>
          <w:numId w:val="2"/>
        </w:numPr>
      </w:pPr>
      <w:r>
        <w:t xml:space="preserve">NPPF Chapter 16 (paragraphs 200, 205 to 208): [engagement and conclusion]</w:t>
      </w:r>
    </w:p>
    <w:p>
      <w:pPr>
        <w:pStyle w:val="ListParagraph"/>
        <w:numPr>
          <w:ilvl w:val="0"/>
          <w:numId w:val="2"/>
        </w:numPr>
      </w:pPr>
      <w:r>
        <w:t xml:space="preserve">Planning (Listed Buildings and Conservation Areas) Act 1990, sections 16(2), 66(1), 72(1) as relevant: [engagement]</w:t>
      </w:r>
    </w:p>
    <w:p>
      <w:pPr>
        <w:pStyle w:val="ListParagraph"/>
        <w:numPr>
          <w:ilvl w:val="0"/>
          <w:numId w:val="2"/>
        </w:numPr>
      </w:pPr>
      <w:r>
        <w:t xml:space="preserve">Local plan heritage policies [list]: [engagement]</w:t>
      </w:r>
    </w:p>
    <w:p>
      <w:pPr>
        <w:pStyle w:val="ListParagraph"/>
        <w:numPr>
          <w:ilvl w:val="0"/>
          <w:numId w:val="2"/>
        </w:numPr>
      </w:pPr>
      <w:r>
        <w:t xml:space="preserve">Conservation area appraisal [reference]: [engagement]</w:t>
      </w:r>
    </w:p>
    <w:p>
      <w:pPr>
        <w:pStyle w:val="ListParagraph"/>
        <w:numPr>
          <w:ilvl w:val="0"/>
          <w:numId w:val="2"/>
        </w:numPr>
      </w:pPr>
      <w:r>
        <w:t xml:space="preserve">Historic England Good Practice Advice Notes 2 and 3: [engagement]</w:t>
      </w:r>
    </w:p>
    <w:p>
      <w:pPr>
        <w:pStyle w:val="Heading1"/>
        <w:spacing w:after="120" w:before="240"/>
      </w:pPr>
      <w:r>
        <w:rPr>
          <w:b/>
          <w:bCs/>
        </w:rPr>
        <w:t xml:space="preserve">7. Public benefits balance</w:t>
      </w:r>
    </w:p>
    <w:p>
      <w:pPr>
        <w:spacing w:after="120"/>
      </w:pPr>
      <w:r>
        <w:t xml:space="preserve">[Where any harm is identified, set out the public benefits relied on under NPPF paragraph 208 (less than substantial harm) or 207 (substantial harm), and reason through the balance.]</w:t>
      </w:r>
    </w:p>
    <w:p>
      <w:pPr>
        <w:pStyle w:val="Heading1"/>
        <w:spacing w:after="120" w:before="240"/>
      </w:pPr>
      <w:r>
        <w:rPr>
          <w:b/>
          <w:bCs/>
        </w:rPr>
        <w:t xml:space="preserve">8. Conclusion</w:t>
      </w:r>
    </w:p>
    <w:p>
      <w:pPr>
        <w:spacing w:after="120"/>
      </w:pPr>
      <w:r>
        <w:t xml:space="preserve">[Summarise the significance of the asset, the conclusion on harm, the public benefits balance where engaged, and the reasons the proposal complies with the relevant statutory and policy framework.]</w:t>
      </w:r>
    </w:p>
    <w:p>
      <w:pPr>
        <w:pStyle w:val="Heading1"/>
        <w:spacing w:after="120" w:before="240"/>
      </w:pPr>
      <w:r>
        <w:rPr>
          <w:b/>
          <w:bCs/>
        </w:rPr>
        <w:t xml:space="preserve">9. Sources</w:t>
      </w:r>
    </w:p>
    <w:p>
      <w:pPr>
        <w:pStyle w:val="ListParagraph"/>
        <w:numPr>
          <w:ilvl w:val="0"/>
          <w:numId w:val="2"/>
        </w:numPr>
      </w:pPr>
      <w:r>
        <w:t xml:space="preserve">National Heritage List for England entry [number]</w:t>
      </w:r>
    </w:p>
    <w:p>
      <w:pPr>
        <w:pStyle w:val="ListParagraph"/>
        <w:numPr>
          <w:ilvl w:val="0"/>
          <w:numId w:val="2"/>
        </w:numPr>
      </w:pPr>
      <w:r>
        <w:t xml:space="preserve">[Conservation area appraisal]</w:t>
      </w:r>
    </w:p>
    <w:p>
      <w:pPr>
        <w:pStyle w:val="ListParagraph"/>
        <w:numPr>
          <w:ilvl w:val="0"/>
          <w:numId w:val="2"/>
        </w:numPr>
      </w:pPr>
      <w:r>
        <w:t xml:space="preserve">[Local plan policies]</w:t>
      </w:r>
    </w:p>
    <w:p>
      <w:pPr>
        <w:pStyle w:val="ListParagraph"/>
        <w:numPr>
          <w:ilvl w:val="0"/>
          <w:numId w:val="2"/>
        </w:numPr>
      </w:pPr>
      <w:r>
        <w:t xml:space="preserve">[Archival sources, e.g. London Metropolitan Archives, Historic England Archive]</w:t>
      </w:r>
    </w:p>
    <w:p>
      <w:pPr>
        <w:pStyle w:val="ListParagraph"/>
        <w:numPr>
          <w:ilvl w:val="0"/>
          <w:numId w:val="2"/>
        </w:numPr>
      </w:pPr>
      <w:r>
        <w:t xml:space="preserve">[Historic mapping, e.g. Ordnance Survey first to current editions]</w:t>
      </w:r>
    </w:p>
    <w:p>
      <w:pPr>
        <w:pStyle w:val="ListParagraph"/>
        <w:numPr>
          <w:ilvl w:val="0"/>
          <w:numId w:val="2"/>
        </w:numPr>
      </w:pPr>
      <w:r>
        <w:t xml:space="preserve">Historic England Conservation Principles, Policies and Guidance (2008)</w:t>
      </w:r>
    </w:p>
    <w:p>
      <w:pPr>
        <w:pStyle w:val="ListParagraph"/>
        <w:numPr>
          <w:ilvl w:val="0"/>
          <w:numId w:val="2"/>
        </w:numPr>
      </w:pPr>
      <w:r>
        <w:t xml:space="preserve">Historic England Good Practice Advice Notes 2 and 3</w:t>
      </w:r>
    </w:p>
    <w:p>
      <w:pPr>
        <w:spacing w:before="480"/>
      </w:pPr>
      <w:r>
        <w:rPr>
          <w:b/>
          <w:bCs/>
        </w:rPr>
        <w:t xml:space="preserve">About this template</w:t>
      </w:r>
    </w:p>
    <w:p>
      <w:pPr>
        <w:spacing w:after="120"/>
      </w:pPr>
      <w:r>
        <w:t xml:space="preserve">This template is provided free by Vestige, a London heritage planning consultancy. It is not legal advice. For complex listed buildings or contentious applications, instruct a qualified heritage consultant. Vestige scopes each instruction individually after an initial review of the asset and the proposal. vestigelondon.com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Statement Template</dc:title>
  <dc:creator>Vestige</dc:creator>
  <dc:description>Free heritage statement template by Vestige, London.</dc:description>
  <cp:lastModifiedBy>Un-named</cp:lastModifiedBy>
  <cp:revision>1</cp:revision>
  <dcterms:created xsi:type="dcterms:W3CDTF">2026-05-11T07:37:34.695Z</dcterms:created>
  <dcterms:modified xsi:type="dcterms:W3CDTF">2026-05-11T07:37:34.696Z</dcterms:modified>
</cp:coreProperties>
</file>

<file path=docProps/custom.xml><?xml version="1.0" encoding="utf-8"?>
<Properties xmlns="http://schemas.openxmlformats.org/officeDocument/2006/custom-properties" xmlns:vt="http://schemas.openxmlformats.org/officeDocument/2006/docPropsVTypes"/>
</file>